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FA2" w:rsidRPr="00926FA2" w:rsidRDefault="00926FA2" w:rsidP="00926FA2">
      <w:pPr>
        <w:tabs>
          <w:tab w:val="center" w:pos="4513"/>
          <w:tab w:val="right" w:pos="9026"/>
        </w:tabs>
        <w:jc w:val="center"/>
        <w:rPr>
          <w:rFonts w:ascii="Arial" w:eastAsia="Cambria" w:hAnsi="Arial" w:cs="Arial"/>
          <w:b/>
          <w:color w:val="808080"/>
          <w:sz w:val="32"/>
          <w:szCs w:val="32"/>
        </w:rPr>
      </w:pPr>
      <w:r>
        <w:rPr>
          <w:rFonts w:ascii="Calibri" w:eastAsia="Times New Roman" w:hAnsi="Calibri" w:cs="Times New Roman"/>
          <w:noProof/>
          <w:lang w:eastAsia="en-AU"/>
        </w:rPr>
        <w:drawing>
          <wp:anchor distT="0" distB="0" distL="114300" distR="114300" simplePos="0" relativeHeight="251658240" behindDoc="1" locked="0" layoutInCell="1" allowOverlap="1">
            <wp:simplePos x="0" y="0"/>
            <wp:positionH relativeFrom="page">
              <wp:posOffset>6207125</wp:posOffset>
            </wp:positionH>
            <wp:positionV relativeFrom="page">
              <wp:posOffset>351155</wp:posOffset>
            </wp:positionV>
            <wp:extent cx="650875" cy="595630"/>
            <wp:effectExtent l="0" t="0" r="0" b="0"/>
            <wp:wrapNone/>
            <wp:docPr id="2" name="Picture 2"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650875" cy="595630"/>
                    </a:xfrm>
                    <a:prstGeom prst="rect">
                      <a:avLst/>
                    </a:prstGeom>
                    <a:solidFill>
                      <a:srgbClr val="000000"/>
                    </a:solidFill>
                    <a:ln>
                      <a:noFill/>
                    </a:ln>
                  </pic:spPr>
                </pic:pic>
              </a:graphicData>
            </a:graphic>
            <wp14:sizeRelH relativeFrom="page">
              <wp14:pctWidth>0</wp14:pctWidth>
            </wp14:sizeRelH>
            <wp14:sizeRelV relativeFrom="page">
              <wp14:pctHeight>0</wp14:pctHeight>
            </wp14:sizeRelV>
          </wp:anchor>
        </w:drawing>
      </w:r>
      <w:r w:rsidRPr="00926FA2">
        <w:rPr>
          <w:rFonts w:ascii="Arial" w:eastAsia="Cambria" w:hAnsi="Arial" w:cs="Arial"/>
          <w:b/>
          <w:color w:val="808080"/>
          <w:sz w:val="32"/>
          <w:szCs w:val="32"/>
        </w:rPr>
        <w:t xml:space="preserve">Wahroonga Out </w:t>
      </w:r>
      <w:proofErr w:type="gramStart"/>
      <w:r w:rsidRPr="00926FA2">
        <w:rPr>
          <w:rFonts w:ascii="Arial" w:eastAsia="Cambria" w:hAnsi="Arial" w:cs="Arial"/>
          <w:b/>
          <w:color w:val="808080"/>
          <w:sz w:val="32"/>
          <w:szCs w:val="32"/>
        </w:rPr>
        <w:t>Of</w:t>
      </w:r>
      <w:proofErr w:type="gramEnd"/>
      <w:r w:rsidRPr="00926FA2">
        <w:rPr>
          <w:rFonts w:ascii="Arial" w:eastAsia="Cambria" w:hAnsi="Arial" w:cs="Arial"/>
          <w:b/>
          <w:color w:val="808080"/>
          <w:sz w:val="32"/>
          <w:szCs w:val="32"/>
        </w:rPr>
        <w:t xml:space="preserve"> School Hours Centre</w:t>
      </w:r>
    </w:p>
    <w:p w:rsidR="00926FA2" w:rsidRPr="00926FA2" w:rsidRDefault="00926FA2" w:rsidP="00926FA2">
      <w:pPr>
        <w:tabs>
          <w:tab w:val="center" w:pos="4513"/>
          <w:tab w:val="right" w:pos="9026"/>
        </w:tabs>
        <w:jc w:val="center"/>
        <w:rPr>
          <w:rFonts w:ascii="Arial" w:eastAsia="Cambria" w:hAnsi="Arial" w:cs="Arial"/>
          <w:b/>
          <w:color w:val="808080"/>
          <w:sz w:val="20"/>
          <w:szCs w:val="20"/>
        </w:rPr>
      </w:pPr>
    </w:p>
    <w:p w:rsidR="00926FA2" w:rsidRPr="00926FA2" w:rsidRDefault="00926FA2" w:rsidP="00926FA2">
      <w:pPr>
        <w:pBdr>
          <w:bottom w:val="single" w:sz="24" w:space="1" w:color="808080"/>
        </w:pBdr>
        <w:tabs>
          <w:tab w:val="center" w:pos="4513"/>
          <w:tab w:val="right" w:pos="9356"/>
        </w:tabs>
        <w:ind w:left="-426" w:right="-330" w:firstLine="426"/>
        <w:rPr>
          <w:rFonts w:ascii="Calibri" w:eastAsia="Times New Roman" w:hAnsi="Calibri" w:cs="Times New Roman"/>
          <w:i/>
        </w:rPr>
      </w:pPr>
      <w:r w:rsidRPr="00926FA2">
        <w:rPr>
          <w:rFonts w:ascii="Arial" w:eastAsia="Cambria" w:hAnsi="Arial" w:cs="Arial"/>
          <w:color w:val="808080"/>
          <w:sz w:val="16"/>
          <w:szCs w:val="16"/>
        </w:rPr>
        <w:t xml:space="preserve">                                           </w:t>
      </w:r>
      <w:r w:rsidRPr="00926FA2">
        <w:rPr>
          <w:rFonts w:ascii="Arial" w:eastAsia="Cambria" w:hAnsi="Arial" w:cs="Arial"/>
          <w:i/>
          <w:color w:val="808080"/>
          <w:sz w:val="16"/>
          <w:szCs w:val="16"/>
        </w:rPr>
        <w:t xml:space="preserve">P.O. Box 489, Wahroonga, N.S.W 2076               Phone: 0428914394             </w:t>
      </w:r>
    </w:p>
    <w:p w:rsidR="00AB243F" w:rsidRPr="00CB30F9" w:rsidRDefault="00AB243F" w:rsidP="00AB243F">
      <w:pPr>
        <w:pStyle w:val="NormalWeb"/>
        <w:spacing w:before="326" w:beforeAutospacing="0" w:after="0" w:afterAutospacing="0"/>
        <w:ind w:right="571"/>
        <w:jc w:val="center"/>
        <w:rPr>
          <w:rFonts w:asciiTheme="minorHAnsi" w:hAnsiTheme="minorHAnsi" w:cs="Arial"/>
          <w:b/>
          <w:color w:val="000000"/>
          <w:u w:val="single"/>
        </w:rPr>
      </w:pPr>
      <w:proofErr w:type="gramStart"/>
      <w:r w:rsidRPr="00CB30F9">
        <w:rPr>
          <w:rFonts w:asciiTheme="minorHAnsi" w:hAnsiTheme="minorHAnsi" w:cs="Arial"/>
          <w:b/>
          <w:color w:val="000000"/>
          <w:sz w:val="28"/>
          <w:szCs w:val="28"/>
          <w:u w:val="single"/>
        </w:rPr>
        <w:t>The theorists who underpin our practices</w:t>
      </w:r>
      <w:r w:rsidRPr="00CB30F9">
        <w:rPr>
          <w:rFonts w:asciiTheme="minorHAnsi" w:hAnsiTheme="minorHAnsi" w:cs="Arial"/>
          <w:b/>
          <w:color w:val="000000"/>
          <w:u w:val="single"/>
        </w:rPr>
        <w:t>.</w:t>
      </w:r>
      <w:proofErr w:type="gramEnd"/>
    </w:p>
    <w:p w:rsidR="00AB243F" w:rsidRPr="00CB30F9" w:rsidRDefault="00AB243F" w:rsidP="00DA4585">
      <w:pPr>
        <w:pStyle w:val="NormalWeb"/>
        <w:ind w:right="571"/>
        <w:rPr>
          <w:rFonts w:asciiTheme="minorHAnsi" w:hAnsiTheme="minorHAnsi" w:cs="Arial"/>
          <w:color w:val="000000"/>
          <w:sz w:val="22"/>
          <w:szCs w:val="22"/>
        </w:rPr>
      </w:pPr>
      <w:r w:rsidRPr="00CB30F9">
        <w:rPr>
          <w:rFonts w:asciiTheme="minorHAnsi" w:hAnsiTheme="minorHAnsi" w:cs="Arial"/>
          <w:color w:val="000000"/>
          <w:sz w:val="22"/>
          <w:szCs w:val="22"/>
        </w:rPr>
        <w:t xml:space="preserve">We consider a range of theories and approaches to inform and guide our practice. This </w:t>
      </w:r>
      <w:bookmarkStart w:id="0" w:name="_GoBack"/>
      <w:r w:rsidRPr="00CB30F9">
        <w:rPr>
          <w:rFonts w:asciiTheme="minorHAnsi" w:hAnsiTheme="minorHAnsi" w:cs="Arial"/>
          <w:color w:val="000000"/>
          <w:sz w:val="22"/>
          <w:szCs w:val="22"/>
        </w:rPr>
        <w:t>k</w:t>
      </w:r>
      <w:bookmarkEnd w:id="0"/>
      <w:r w:rsidRPr="00CB30F9">
        <w:rPr>
          <w:rFonts w:asciiTheme="minorHAnsi" w:hAnsiTheme="minorHAnsi" w:cs="Arial"/>
          <w:color w:val="000000"/>
          <w:sz w:val="22"/>
          <w:szCs w:val="22"/>
        </w:rPr>
        <w:t>nowledge assists us to develop a professional approach to working with children and this helps to develop a deeper understanding of the children we work with, their needs and interests</w:t>
      </w:r>
      <w:r w:rsidR="00DA4585" w:rsidRPr="00CB30F9">
        <w:rPr>
          <w:rFonts w:asciiTheme="minorHAnsi" w:hAnsiTheme="minorHAnsi" w:cs="Arial"/>
          <w:color w:val="000000"/>
          <w:sz w:val="22"/>
          <w:szCs w:val="22"/>
        </w:rPr>
        <w:t xml:space="preserve">. </w:t>
      </w:r>
      <w:r w:rsidRPr="00CB30F9">
        <w:rPr>
          <w:rFonts w:asciiTheme="minorHAnsi" w:hAnsiTheme="minorHAnsi" w:cs="Arial"/>
          <w:color w:val="000000"/>
          <w:sz w:val="22"/>
          <w:szCs w:val="22"/>
        </w:rPr>
        <w:t xml:space="preserve"> With this knowledge, we are able to effectively plan for children’s recreation and leisure time.</w:t>
      </w:r>
    </w:p>
    <w:p w:rsidR="00AB243F" w:rsidRPr="00CB30F9" w:rsidRDefault="00AB243F" w:rsidP="00AB243F">
      <w:pPr>
        <w:pStyle w:val="NormalWeb"/>
        <w:spacing w:before="326" w:beforeAutospacing="0" w:after="0" w:afterAutospacing="0"/>
        <w:ind w:right="571"/>
        <w:rPr>
          <w:rFonts w:asciiTheme="minorHAnsi" w:hAnsiTheme="minorHAnsi"/>
          <w:u w:val="single"/>
        </w:rPr>
      </w:pPr>
      <w:r w:rsidRPr="00CB30F9">
        <w:rPr>
          <w:rFonts w:asciiTheme="minorHAnsi" w:hAnsiTheme="minorHAnsi" w:cs="Arial"/>
          <w:color w:val="000000"/>
          <w:sz w:val="22"/>
          <w:szCs w:val="22"/>
          <w:u w:val="single"/>
        </w:rPr>
        <w:t xml:space="preserve">Reggio Emilio Approach  </w:t>
      </w:r>
    </w:p>
    <w:p w:rsidR="00761ED4" w:rsidRPr="00CB30F9" w:rsidRDefault="00761ED4" w:rsidP="00761ED4">
      <w:pPr>
        <w:spacing w:before="178" w:after="0" w:line="240" w:lineRule="auto"/>
        <w:ind w:right="533"/>
        <w:rPr>
          <w:rFonts w:eastAsia="Times New Roman" w:cs="Times New Roman"/>
          <w:sz w:val="24"/>
          <w:szCs w:val="24"/>
          <w:lang w:eastAsia="en-AU"/>
        </w:rPr>
      </w:pPr>
      <w:r w:rsidRPr="00CB30F9">
        <w:rPr>
          <w:rFonts w:eastAsia="Times New Roman" w:cs="Arial"/>
          <w:color w:val="000000"/>
          <w:lang w:eastAsia="en-AU"/>
        </w:rPr>
        <w:t>The approach appreciates children’s potential and current developmental abilities within the particular context of the community. The approach requires children to be seen as competent, resourceful, curious, imaginative, inventive and possessing a desire to interact and communicate with others. </w:t>
      </w:r>
    </w:p>
    <w:p w:rsidR="00761ED4" w:rsidRPr="00CB30F9" w:rsidRDefault="00761ED4" w:rsidP="00761ED4">
      <w:pPr>
        <w:spacing w:before="317" w:after="0" w:line="240" w:lineRule="auto"/>
        <w:ind w:right="413"/>
        <w:rPr>
          <w:rFonts w:eastAsia="Times New Roman" w:cs="Times New Roman"/>
          <w:sz w:val="24"/>
          <w:szCs w:val="24"/>
          <w:lang w:eastAsia="en-AU"/>
        </w:rPr>
      </w:pPr>
      <w:r w:rsidRPr="00CB30F9">
        <w:rPr>
          <w:rFonts w:eastAsia="Times New Roman" w:cs="Arial"/>
          <w:color w:val="000000"/>
          <w:lang w:eastAsia="en-AU"/>
        </w:rPr>
        <w:t>There is no pre-determined concept of what may be learned – it is explored as they go along. Children are viewed as capable learners and able to express their ideas and feelings through a range of forms and media. This gives rise to the notion that children have ‘one hundred languages’ and we should not limit them in their expression and ideas. </w:t>
      </w:r>
    </w:p>
    <w:p w:rsidR="00AC153D" w:rsidRPr="00CB30F9" w:rsidRDefault="00AC153D" w:rsidP="00AC153D">
      <w:pPr>
        <w:spacing w:after="0" w:line="240" w:lineRule="auto"/>
        <w:rPr>
          <w:rFonts w:eastAsia="Times New Roman" w:cs="Times New Roman"/>
          <w:sz w:val="24"/>
          <w:szCs w:val="24"/>
          <w:lang w:eastAsia="en-AU"/>
        </w:rPr>
      </w:pPr>
    </w:p>
    <w:p w:rsidR="00AC153D" w:rsidRPr="00CB30F9" w:rsidRDefault="00AC153D" w:rsidP="00AC153D">
      <w:pPr>
        <w:spacing w:after="0" w:line="240" w:lineRule="auto"/>
        <w:rPr>
          <w:rFonts w:eastAsia="Times New Roman" w:cs="Arial"/>
          <w:bCs/>
          <w:color w:val="000000"/>
          <w:u w:val="single"/>
          <w:lang w:eastAsia="en-AU"/>
        </w:rPr>
      </w:pPr>
      <w:r w:rsidRPr="00CB30F9">
        <w:rPr>
          <w:rFonts w:eastAsia="Times New Roman" w:cs="Arial"/>
          <w:bCs/>
          <w:color w:val="000000"/>
          <w:u w:val="single"/>
          <w:lang w:eastAsia="en-AU"/>
        </w:rPr>
        <w:t xml:space="preserve">Howard Gardener’s Theory of Multiple Intelligences </w:t>
      </w:r>
    </w:p>
    <w:p w:rsidR="00AC153D" w:rsidRPr="00CB30F9" w:rsidRDefault="00AC153D" w:rsidP="00AC153D">
      <w:pPr>
        <w:spacing w:after="0" w:line="240" w:lineRule="auto"/>
        <w:rPr>
          <w:rFonts w:eastAsia="Times New Roman" w:cs="Times New Roman"/>
          <w:sz w:val="24"/>
          <w:szCs w:val="24"/>
          <w:u w:val="single"/>
          <w:lang w:eastAsia="en-AU"/>
        </w:rPr>
      </w:pPr>
    </w:p>
    <w:p w:rsidR="00AC153D" w:rsidRPr="00CB30F9" w:rsidRDefault="00AC153D" w:rsidP="00AC153D">
      <w:pPr>
        <w:spacing w:after="0" w:line="240" w:lineRule="auto"/>
        <w:rPr>
          <w:rFonts w:eastAsia="Times New Roman" w:cs="Times New Roman"/>
          <w:sz w:val="24"/>
          <w:szCs w:val="24"/>
          <w:lang w:eastAsia="en-AU"/>
        </w:rPr>
      </w:pPr>
      <w:r w:rsidRPr="00CB30F9">
        <w:rPr>
          <w:rFonts w:eastAsia="Times New Roman" w:cs="Arial"/>
          <w:color w:val="000000"/>
          <w:lang w:eastAsia="en-AU"/>
        </w:rPr>
        <w:t>Howard Gardener believes that there are at least eight different intelligences and we should not just be focusing on a couple. Gardener argues that individuals have varying strengths and limitations in all of the eight areas and we all learn differently, depending on our strengths. </w:t>
      </w:r>
    </w:p>
    <w:p w:rsidR="00AC153D" w:rsidRPr="00CB30F9" w:rsidRDefault="00AC153D" w:rsidP="00AC153D">
      <w:pPr>
        <w:spacing w:before="322" w:after="0" w:line="240" w:lineRule="auto"/>
        <w:ind w:right="403"/>
        <w:rPr>
          <w:rFonts w:eastAsia="Times New Roman" w:cs="Arial"/>
          <w:color w:val="000000"/>
          <w:lang w:eastAsia="en-AU"/>
        </w:rPr>
      </w:pPr>
      <w:r w:rsidRPr="00CB30F9">
        <w:rPr>
          <w:rFonts w:eastAsia="Times New Roman" w:cs="Arial"/>
          <w:color w:val="000000"/>
          <w:lang w:eastAsia="en-AU"/>
        </w:rPr>
        <w:t>Gardener’s</w:t>
      </w:r>
      <w:r w:rsidR="00DA4585" w:rsidRPr="00CB30F9">
        <w:rPr>
          <w:rFonts w:eastAsia="Times New Roman" w:cs="Arial"/>
          <w:color w:val="000000"/>
          <w:lang w:eastAsia="en-AU"/>
        </w:rPr>
        <w:t xml:space="preserve"> t</w:t>
      </w:r>
      <w:r w:rsidRPr="00CB30F9">
        <w:rPr>
          <w:rFonts w:eastAsia="Times New Roman" w:cs="Arial"/>
          <w:color w:val="000000"/>
          <w:lang w:eastAsia="en-AU"/>
        </w:rPr>
        <w:t>heory is very relevant in school age care settings, as the emergent, less structured programming methods can be readily adapted to children’s various strengths and needs in all eight areas. </w:t>
      </w:r>
    </w:p>
    <w:p w:rsidR="00B2479F" w:rsidRPr="00CB30F9" w:rsidRDefault="00B2479F" w:rsidP="00AC153D">
      <w:pPr>
        <w:spacing w:before="322" w:after="0" w:line="240" w:lineRule="auto"/>
        <w:ind w:right="403"/>
        <w:rPr>
          <w:rFonts w:cs="Arial"/>
        </w:rPr>
      </w:pPr>
      <w:r w:rsidRPr="00CB30F9">
        <w:rPr>
          <w:rFonts w:cs="Arial"/>
          <w:u w:val="single"/>
        </w:rPr>
        <w:t>Roger Hart’s Ladder of Participation</w:t>
      </w:r>
      <w:r w:rsidRPr="00CB30F9">
        <w:rPr>
          <w:rFonts w:cs="Arial"/>
        </w:rPr>
        <w:t>.</w:t>
      </w:r>
    </w:p>
    <w:p w:rsidR="007D1DC2" w:rsidRPr="00CB30F9" w:rsidRDefault="007D1DC2" w:rsidP="00AC153D">
      <w:pPr>
        <w:spacing w:before="322" w:after="0" w:line="240" w:lineRule="auto"/>
        <w:ind w:right="403"/>
        <w:rPr>
          <w:rFonts w:cs="Arial"/>
        </w:rPr>
      </w:pPr>
      <w:proofErr w:type="spellStart"/>
      <w:r w:rsidRPr="00CB30F9">
        <w:rPr>
          <w:rFonts w:cs="Arial"/>
        </w:rPr>
        <w:t>Dr.</w:t>
      </w:r>
      <w:proofErr w:type="spellEnd"/>
      <w:r w:rsidRPr="00CB30F9">
        <w:rPr>
          <w:rFonts w:cs="Arial"/>
        </w:rPr>
        <w:t xml:space="preserve"> Roger Hart created a “ladder” of participation to help us think about where we really are and where we’d like to be in terms of children’s participation in our programs. This ladder was not created to suggest that we have to be “at the top” rung, but rather, that we ought to be aiming to get out of the lower rungs of non-participation, and think of ways to genuinely engage children </w:t>
      </w:r>
    </w:p>
    <w:p w:rsidR="00761ED4" w:rsidRDefault="00DA4585" w:rsidP="00926FA2">
      <w:pPr>
        <w:spacing w:before="322" w:after="0" w:line="240" w:lineRule="auto"/>
        <w:ind w:right="403"/>
        <w:jc w:val="center"/>
      </w:pPr>
      <w:r>
        <w:rPr>
          <w:noProof/>
          <w:lang w:eastAsia="en-AU"/>
        </w:rPr>
        <w:drawing>
          <wp:inline distT="0" distB="0" distL="0" distR="0" wp14:anchorId="657DB772" wp14:editId="22F376C5">
            <wp:extent cx="2963334" cy="293380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971517" cy="2941901"/>
                    </a:xfrm>
                    <a:prstGeom prst="rect">
                      <a:avLst/>
                    </a:prstGeom>
                  </pic:spPr>
                </pic:pic>
              </a:graphicData>
            </a:graphic>
          </wp:inline>
        </w:drawing>
      </w:r>
    </w:p>
    <w:sectPr w:rsidR="00761ED4" w:rsidSect="00DA4585">
      <w:pgSz w:w="11906" w:h="16838"/>
      <w:pgMar w:top="641" w:right="697" w:bottom="278" w:left="74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43F"/>
    <w:rsid w:val="00761ED4"/>
    <w:rsid w:val="007D1DC2"/>
    <w:rsid w:val="00926FA2"/>
    <w:rsid w:val="00AB243F"/>
    <w:rsid w:val="00AC153D"/>
    <w:rsid w:val="00B2479F"/>
    <w:rsid w:val="00CB30F9"/>
    <w:rsid w:val="00DA4585"/>
    <w:rsid w:val="00E7609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243F"/>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DA45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5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243F"/>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DA45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5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794381">
      <w:bodyDiv w:val="1"/>
      <w:marLeft w:val="0"/>
      <w:marRight w:val="0"/>
      <w:marTop w:val="0"/>
      <w:marBottom w:val="0"/>
      <w:divBdr>
        <w:top w:val="none" w:sz="0" w:space="0" w:color="auto"/>
        <w:left w:val="none" w:sz="0" w:space="0" w:color="auto"/>
        <w:bottom w:val="none" w:sz="0" w:space="0" w:color="auto"/>
        <w:right w:val="none" w:sz="0" w:space="0" w:color="auto"/>
      </w:divBdr>
    </w:div>
    <w:div w:id="1791778774">
      <w:bodyDiv w:val="1"/>
      <w:marLeft w:val="0"/>
      <w:marRight w:val="0"/>
      <w:marTop w:val="0"/>
      <w:marBottom w:val="0"/>
      <w:divBdr>
        <w:top w:val="none" w:sz="0" w:space="0" w:color="auto"/>
        <w:left w:val="none" w:sz="0" w:space="0" w:color="auto"/>
        <w:bottom w:val="none" w:sz="0" w:space="0" w:color="auto"/>
        <w:right w:val="none" w:sz="0" w:space="0" w:color="auto"/>
      </w:divBdr>
    </w:div>
    <w:div w:id="209161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330</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NSW, Department of Education and Training</Company>
  <LinksUpToDate>false</LinksUpToDate>
  <CharactersWithSpaces>2213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Russell, Linda</dc:creator>
  <cp:lastModifiedBy>Russell, Linda</cp:lastModifiedBy>
  <cp:revision>3</cp:revision>
  <dcterms:created xsi:type="dcterms:W3CDTF">2020-08-11T00:48:00Z</dcterms:created>
  <dcterms:modified xsi:type="dcterms:W3CDTF">2020-08-26T04:01:00Z</dcterms:modified>
</cp:coreProperties>
</file>